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F24E" w14:textId="77777777" w:rsidR="00083257" w:rsidRPr="001D36B8" w:rsidRDefault="00083257" w:rsidP="00083257">
      <w:r w:rsidRPr="001D36B8">
        <w:rPr>
          <w:rFonts w:ascii="Franklin Gothic Book" w:hAnsi="Franklin Gothic Book"/>
          <w:b/>
          <w:bCs/>
          <w:noProof/>
          <w:sz w:val="28"/>
          <w:szCs w:val="28"/>
        </w:rPr>
        <mc:AlternateContent>
          <mc:Choice Requires="wps">
            <w:drawing>
              <wp:anchor distT="45720" distB="45720" distL="114300" distR="114300" simplePos="0" relativeHeight="251663360" behindDoc="0" locked="0" layoutInCell="1" allowOverlap="1" wp14:anchorId="7FB73434" wp14:editId="6FC7555D">
                <wp:simplePos x="0" y="0"/>
                <wp:positionH relativeFrom="page">
                  <wp:posOffset>6553200</wp:posOffset>
                </wp:positionH>
                <wp:positionV relativeFrom="topMargin">
                  <wp:align>bottom</wp:align>
                </wp:positionV>
                <wp:extent cx="609600" cy="312420"/>
                <wp:effectExtent l="0" t="0" r="0" b="0"/>
                <wp:wrapSquare wrapText="bothSides"/>
                <wp:docPr id="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noFill/>
                          <a:miter lim="800000"/>
                          <a:headEnd/>
                          <a:tailEnd/>
                        </a:ln>
                      </wps:spPr>
                      <wps:txbx>
                        <w:txbxContent>
                          <w:p w14:paraId="72DAABCB" w14:textId="77777777" w:rsidR="00083257" w:rsidRPr="008C6D14" w:rsidRDefault="00083257" w:rsidP="00083257">
                            <w:pPr>
                              <w:rPr>
                                <w:b/>
                                <w:bCs/>
                              </w:rPr>
                            </w:pPr>
                            <w:r w:rsidRPr="008C6D14">
                              <w:rPr>
                                <w:b/>
                                <w:bCs/>
                              </w:rPr>
                              <w:t>WF-9</w:t>
                            </w:r>
                          </w:p>
                          <w:p w14:paraId="49FD90F1" w14:textId="77777777" w:rsidR="00083257" w:rsidRDefault="00083257" w:rsidP="0008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73434" id="_x0000_t202" coordsize="21600,21600" o:spt="202" path="m,l,21600r21600,l21600,xe">
                <v:stroke joinstyle="miter"/>
                <v:path gradientshapeok="t" o:connecttype="rect"/>
              </v:shapetype>
              <v:shape id="Text Box 2" o:spid="_x0000_s1026" type="#_x0000_t202" style="position:absolute;margin-left:516pt;margin-top:0;width:48pt;height:24.6pt;z-index:251663360;visibility:visible;mso-wrap-style:square;mso-width-percent:0;mso-height-percent:0;mso-wrap-distance-left:9pt;mso-wrap-distance-top:3.6pt;mso-wrap-distance-right:9pt;mso-wrap-distance-bottom:3.6pt;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giHgIAABsEAAAOAAAAZHJzL2Uyb0RvYy54bWysU11v2yAUfZ+0/4B4X+x4SdZYcaouXaZJ&#10;3YfU7gdgjGM04DIgsbNf3wtO06h9q8YDAu7lcO65h9X1oBU5COclmIpOJzklwnBopNlV9PfD9sMV&#10;JT4w0zAFRlT0KDy9Xr9/t+ptKQroQDXCEQQxvuxtRbsQbJllnndCMz8BKwwGW3CaBdy6XdY41iO6&#10;VlmR54usB9dYB1x4j6e3Y5CuE37bCh5+tq0XgaiKIreQZpfmOs7ZesXKnWO2k/xEg72BhWbS4KNn&#10;qFsWGNk7+QpKS+7AQxsmHHQGbSu5SDVgNdP8RTX3HbMi1YLieHuWyf8/WP7j8MsR2VR0XlBimMYe&#10;PYghkM8wkCLK01tfYta9xbww4DG2OZXq7R3wP54Y2HTM7MSNc9B3gjVIbxpvZhdXRxwfQer+OzT4&#10;DNsHSEBD63TUDtUgiI5tOp5bE6lwPFzky0WOEY6hj9NiVqTWZax8umydD18FaBIXFXXY+QTODnc+&#10;RDKsfEqJb3lQstlKpdLG7eqNcuTA0CXbNBL/F2nKkL6iy3kxT8gG4v1kIC0DulhJXdGrPI7RV1GM&#10;L6ZJKYFJNa6RiTIndaIgozRhqAdMjJLV0BxRJwejW/F34aID94+SHp1aUf93z5ygRH0zqPVyOptF&#10;a6fNbP4JpSHuMlJfRpjhCFXRQMm43IT0HaIOBm6wJ61Mej0zOXFFByYZT78lWvxyn7Ke//T6EQAA&#10;//8DAFBLAwQUAAYACAAAACEAHwGxBt0AAAAJAQAADwAAAGRycy9kb3ducmV2LnhtbEyPzU7DQAyE&#10;70i8w8pIXBDdNJT+hGwqQAJxbekDOFk3ich6o+y2Sd8e9wQXy6Oxxt/k28l16kxDaD0bmM8SUMSV&#10;ty3XBg7fH49rUCEiW+w8k4ELBdgWtzc5ZtaPvKPzPtZKQjhkaKCJsc+0DlVDDsPM98TiHf3gMIoc&#10;am0HHCXcdTpNkqV22LJ8aLCn94aqn/3JGTh+jQ/Pm7H8jIfVbrF8w3ZV+osx93fT6wuoSFP8O4Yr&#10;vqBDIUylP7ENqhOdPKVSJhqQefXn6Vq20sBik4Iucv2/QfELAAD//wMAUEsBAi0AFAAGAAgAAAAh&#10;ALaDOJL+AAAA4QEAABMAAAAAAAAAAAAAAAAAAAAAAFtDb250ZW50X1R5cGVzXS54bWxQSwECLQAU&#10;AAYACAAAACEAOP0h/9YAAACUAQAACwAAAAAAAAAAAAAAAAAvAQAAX3JlbHMvLnJlbHNQSwECLQAU&#10;AAYACAAAACEAn8uYIh4CAAAbBAAADgAAAAAAAAAAAAAAAAAuAgAAZHJzL2Uyb0RvYy54bWxQSwEC&#10;LQAUAAYACAAAACEAHwGxBt0AAAAJAQAADwAAAAAAAAAAAAAAAAB4BAAAZHJzL2Rvd25yZXYueG1s&#10;UEsFBgAAAAAEAAQA8wAAAIIFAAAAAA==&#10;" stroked="f">
                <v:textbox>
                  <w:txbxContent>
                    <w:p w14:paraId="72DAABCB" w14:textId="77777777" w:rsidR="00083257" w:rsidRPr="008C6D14" w:rsidRDefault="00083257" w:rsidP="00083257">
                      <w:pPr>
                        <w:rPr>
                          <w:b/>
                          <w:bCs/>
                        </w:rPr>
                      </w:pPr>
                      <w:r w:rsidRPr="008C6D14">
                        <w:rPr>
                          <w:b/>
                          <w:bCs/>
                        </w:rPr>
                        <w:t>WF-9</w:t>
                      </w:r>
                    </w:p>
                    <w:p w14:paraId="49FD90F1" w14:textId="77777777" w:rsidR="00083257" w:rsidRDefault="00083257" w:rsidP="00083257"/>
                  </w:txbxContent>
                </v:textbox>
                <w10:wrap type="square" anchorx="page" anchory="margin"/>
              </v:shape>
            </w:pict>
          </mc:Fallback>
        </mc:AlternateContent>
      </w:r>
      <w:r w:rsidRPr="001D36B8">
        <w:rPr>
          <w:noProof/>
          <w:szCs w:val="24"/>
        </w:rPr>
        <w:drawing>
          <wp:anchor distT="0" distB="0" distL="114300" distR="114300" simplePos="0" relativeHeight="251661312" behindDoc="1" locked="0" layoutInCell="1" allowOverlap="1" wp14:anchorId="4966271A" wp14:editId="24067CD4">
            <wp:simplePos x="0" y="0"/>
            <wp:positionH relativeFrom="margin">
              <wp:align>left</wp:align>
            </wp:positionH>
            <wp:positionV relativeFrom="page">
              <wp:posOffset>-83820</wp:posOffset>
            </wp:positionV>
            <wp:extent cx="1638300" cy="1112520"/>
            <wp:effectExtent l="0" t="0" r="0" b="0"/>
            <wp:wrapTight wrapText="bothSides">
              <wp:wrapPolygon edited="0">
                <wp:start x="2512" y="7767"/>
                <wp:lineTo x="1005" y="9986"/>
                <wp:lineTo x="0" y="12205"/>
                <wp:lineTo x="0" y="15904"/>
                <wp:lineTo x="2009" y="19233"/>
                <wp:lineTo x="3014" y="19973"/>
                <wp:lineTo x="5023" y="19973"/>
                <wp:lineTo x="21098" y="16644"/>
                <wp:lineTo x="21349" y="16274"/>
                <wp:lineTo x="21349" y="11836"/>
                <wp:lineTo x="19088" y="11096"/>
                <wp:lineTo x="5274" y="7767"/>
                <wp:lineTo x="2512" y="7767"/>
              </wp:wrapPolygon>
            </wp:wrapTight>
            <wp:docPr id="54" name="Pictur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8">
                      <a:extLst>
                        <a:ext uri="{28A0092B-C50C-407E-A947-70E740481C1C}">
                          <a14:useLocalDpi xmlns:a14="http://schemas.microsoft.com/office/drawing/2010/main" val="0"/>
                        </a:ext>
                      </a:extLst>
                    </a:blip>
                    <a:srcRect b="30476"/>
                    <a:stretch/>
                  </pic:blipFill>
                  <pic:spPr bwMode="auto">
                    <a:xfrm>
                      <a:off x="0" y="0"/>
                      <a:ext cx="16383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AE53AE" w14:textId="77777777" w:rsidR="00083257" w:rsidRPr="001D36B8" w:rsidRDefault="00083257" w:rsidP="00F34ABC">
      <w:pPr>
        <w:pStyle w:val="Heading1"/>
        <w:spacing w:before="0" w:line="240" w:lineRule="auto"/>
      </w:pPr>
      <w:r w:rsidRPr="001D36B8">
        <w:t>FEMA Mitigation Funding Opportunity</w:t>
      </w:r>
    </w:p>
    <w:p w14:paraId="7DCD03C9" w14:textId="77777777" w:rsidR="00083257" w:rsidRPr="0022024E" w:rsidRDefault="00083257" w:rsidP="00F34ABC">
      <w:pPr>
        <w:pStyle w:val="Heading1"/>
        <w:spacing w:before="0" w:line="240" w:lineRule="auto"/>
      </w:pPr>
      <w:r w:rsidRPr="0022024E">
        <w:t xml:space="preserve">Advance Assistance </w:t>
      </w:r>
    </w:p>
    <w:p w14:paraId="4072DFF0" w14:textId="7E65B02B" w:rsidR="00EE4672" w:rsidRPr="00EE4672" w:rsidRDefault="00083257" w:rsidP="002E23E2">
      <w:pPr>
        <w:pStyle w:val="Heading2"/>
      </w:pPr>
      <w:r w:rsidRPr="001D36B8">
        <w:t>Overview</w:t>
      </w:r>
    </w:p>
    <w:p w14:paraId="67E2C321" w14:textId="1DF87674" w:rsidR="00083257" w:rsidRPr="00EE4672" w:rsidRDefault="00083257" w:rsidP="00EE4672">
      <w:r w:rsidRPr="001D36B8">
        <w:t>Advance Assistance provides early funding to accelerate the identification and implementation of mitigation activities.  Applicants and sub-applicants may use Advance Assistance to develop mitigation strategies and obtain data to prioritize, select and develop complete mitigation applications in a timely manner, resulting in either an improvement in the capability to identify appropriate mitigation projects or in the development of an application-ready mitigation project.</w:t>
      </w:r>
    </w:p>
    <w:p w14:paraId="6FD3612E" w14:textId="621C6AD9" w:rsidR="00A86F14" w:rsidRDefault="00083257" w:rsidP="00EE4672">
      <w:pPr>
        <w:rPr>
          <w:rFonts w:cs="Arial"/>
          <w:color w:val="1B1B1B"/>
          <w:lang w:val="en"/>
        </w:rPr>
      </w:pPr>
      <w:r w:rsidRPr="001D36B8">
        <w:rPr>
          <w:rFonts w:cs="Arial"/>
          <w:color w:val="1B1B1B"/>
          <w:lang w:val="en"/>
        </w:rPr>
        <w:t xml:space="preserve">Wildfires are unplanned fires that burn in natural areas like forests, grasslands or prairies. These dangerous fires spread quickly and can be devastating.  FEMA has funding available to assist in identifying and formulating complete grant applications. </w:t>
      </w:r>
    </w:p>
    <w:p w14:paraId="42750A26" w14:textId="77777777" w:rsidR="00EE7123" w:rsidRPr="004A083F" w:rsidRDefault="00473098" w:rsidP="004A083F">
      <w:pPr>
        <w:pStyle w:val="Heading2"/>
      </w:pPr>
      <w:r w:rsidRPr="004A083F">
        <w:t xml:space="preserve">Eligible Activities </w:t>
      </w:r>
    </w:p>
    <w:p w14:paraId="1FC7FEC2" w14:textId="472A8C28" w:rsidR="00BA38B9" w:rsidRPr="00EE7123" w:rsidRDefault="00EE7123" w:rsidP="00EE7123">
      <w:pPr>
        <w:pStyle w:val="Heading2"/>
        <w:pBdr>
          <w:top w:val="single" w:sz="4" w:space="1" w:color="auto"/>
          <w:left w:val="single" w:sz="4" w:space="4" w:color="auto"/>
          <w:bottom w:val="single" w:sz="4" w:space="12" w:color="auto"/>
          <w:right w:val="single" w:sz="4" w:space="4" w:color="auto"/>
        </w:pBdr>
        <w:shd w:val="clear" w:color="auto" w:fill="2F5496" w:themeFill="accent1" w:themeFillShade="BF"/>
        <w:ind w:left="360"/>
        <w:rPr>
          <w:b w:val="0"/>
          <w:color w:val="FFFFFF" w:themeColor="background1"/>
          <w:sz w:val="24"/>
          <w:szCs w:val="24"/>
        </w:rPr>
      </w:pPr>
      <w:r>
        <w:rPr>
          <w:rFonts w:cs="Times New Roman"/>
          <w:bCs/>
          <w:color w:val="FFFFFF" w:themeColor="background1"/>
          <w:sz w:val="24"/>
          <w:szCs w:val="24"/>
        </w:rPr>
        <w:t>*</w:t>
      </w:r>
      <w:r w:rsidR="00473098" w:rsidRPr="00EE7123">
        <w:rPr>
          <w:rFonts w:cs="Times New Roman"/>
          <w:bCs/>
          <w:color w:val="FFFFFF" w:themeColor="background1"/>
          <w:sz w:val="24"/>
          <w:szCs w:val="24"/>
        </w:rPr>
        <w:t>Note</w:t>
      </w:r>
      <w:r w:rsidR="00473098" w:rsidRPr="00EE7123">
        <w:rPr>
          <w:rFonts w:cs="Times New Roman"/>
          <w:b w:val="0"/>
          <w:color w:val="FFFFFF" w:themeColor="background1"/>
          <w:sz w:val="24"/>
          <w:szCs w:val="24"/>
        </w:rPr>
        <w:t>: This list presents potential project scoping activities. This list is not exhaustive; Applicants and sub-applicants may have needs that extend beyond what has been included here.</w:t>
      </w:r>
      <w:r w:rsidR="00456C1E" w:rsidRPr="00EE7123">
        <w:rPr>
          <w:rFonts w:cs="Times New Roman"/>
          <w:b w:val="0"/>
          <w:color w:val="FFFFFF" w:themeColor="background1"/>
          <w:sz w:val="24"/>
          <w:szCs w:val="24"/>
        </w:rPr>
        <w:t xml:space="preserve"> </w:t>
      </w:r>
    </w:p>
    <w:p w14:paraId="1F5BD515" w14:textId="16719E06"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Scoping and developing hazard mitigation projects, including engineering design and feasibility studies</w:t>
      </w:r>
    </w:p>
    <w:p w14:paraId="216B8D30" w14:textId="77777777"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Conducting meetings, outreach, and coordination with potential sub-applicants and community residents to identify potential future mitigation projects, including for ignition resistant construction retrofits and defensible space</w:t>
      </w:r>
    </w:p>
    <w:p w14:paraId="1573545E" w14:textId="77777777"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Evaluating facilities or areas to determine appropriate mitigation actions</w:t>
      </w:r>
    </w:p>
    <w:p w14:paraId="417EDAB8" w14:textId="77777777"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Incorporating environmental planning and historic preservation considerations into project planning activities</w:t>
      </w:r>
    </w:p>
    <w:p w14:paraId="50DB8D67" w14:textId="77777777"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Collecting data for benefit-cost analyses, environmental compliance, and other program requirements</w:t>
      </w:r>
    </w:p>
    <w:p w14:paraId="712C6B6D" w14:textId="77777777"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Conducting hydrologic and hydraulic studies for unmapped flood zones or other areas where communities propose to submit hazard mitigation projects</w:t>
      </w:r>
    </w:p>
    <w:p w14:paraId="503A1BA7" w14:textId="77777777"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Coordinating, scoping, and developing regional or multi-community hazard mitigation projects that require coordination to cohesively address resiliency and sustainability goals</w:t>
      </w:r>
    </w:p>
    <w:p w14:paraId="3BEA1BEF" w14:textId="77777777" w:rsidR="00D403F4"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lastRenderedPageBreak/>
        <w:t>Utilizing third-party cost estimation services for project budgeting across sub-applications</w:t>
      </w:r>
    </w:p>
    <w:p w14:paraId="63F6E354" w14:textId="796BE982" w:rsidR="00473098" w:rsidRPr="00EE7123" w:rsidRDefault="00473098" w:rsidP="00D403F4">
      <w:pPr>
        <w:pStyle w:val="ListParagraph"/>
        <w:numPr>
          <w:ilvl w:val="0"/>
          <w:numId w:val="5"/>
        </w:numPr>
        <w:pBdr>
          <w:top w:val="single" w:sz="4" w:space="1" w:color="auto"/>
          <w:left w:val="single" w:sz="4" w:space="4" w:color="auto"/>
          <w:bottom w:val="single" w:sz="4" w:space="12" w:color="auto"/>
          <w:right w:val="single" w:sz="4" w:space="4" w:color="auto"/>
        </w:pBdr>
        <w:shd w:val="clear" w:color="auto" w:fill="2F5496" w:themeFill="accent1" w:themeFillShade="BF"/>
        <w:rPr>
          <w:rFonts w:cs="Times New Roman"/>
          <w:b/>
          <w:bCs/>
          <w:color w:val="FFFFFF" w:themeColor="background1"/>
          <w:szCs w:val="24"/>
        </w:rPr>
      </w:pPr>
      <w:r w:rsidRPr="00EE7123">
        <w:rPr>
          <w:rFonts w:cs="Times New Roman"/>
          <w:color w:val="FFFFFF" w:themeColor="background1"/>
          <w:szCs w:val="24"/>
        </w:rPr>
        <w:t>Contracting services to address data consistency needs for other project application categories, such as environmental planning and historic preservation, cost-sharing mechanisms, and work schedules</w:t>
      </w:r>
    </w:p>
    <w:p w14:paraId="0DC8789F" w14:textId="13B752B1" w:rsidR="00083257" w:rsidRDefault="00083257" w:rsidP="002E23E2">
      <w:pPr>
        <w:pStyle w:val="Heading2"/>
      </w:pPr>
      <w:r w:rsidRPr="001D36B8">
        <w:t>Overall Complexity</w:t>
      </w:r>
    </w:p>
    <w:tbl>
      <w:tblPr>
        <w:tblStyle w:val="TableGrid"/>
        <w:tblW w:w="9360" w:type="dxa"/>
        <w:tblInd w:w="85" w:type="dxa"/>
        <w:tblLook w:val="04A0" w:firstRow="1" w:lastRow="0" w:firstColumn="1" w:lastColumn="0" w:noHBand="0" w:noVBand="1"/>
        <w:tblCaption w:val="Overall Complexity Table"/>
        <w:tblDescription w:val="table of overall complexity"/>
      </w:tblPr>
      <w:tblGrid>
        <w:gridCol w:w="3026"/>
        <w:gridCol w:w="3117"/>
        <w:gridCol w:w="3217"/>
      </w:tblGrid>
      <w:tr w:rsidR="00083257" w:rsidRPr="001D36B8" w14:paraId="5A6A2AC2" w14:textId="77777777" w:rsidTr="00843F87">
        <w:trPr>
          <w:tblHeader/>
        </w:trPr>
        <w:tc>
          <w:tcPr>
            <w:tcW w:w="3026" w:type="dxa"/>
            <w:shd w:val="clear" w:color="auto" w:fill="2F5496" w:themeFill="accent1" w:themeFillShade="BF"/>
          </w:tcPr>
          <w:p w14:paraId="5EC82934" w14:textId="77777777" w:rsidR="00083257" w:rsidRPr="00BA38B9" w:rsidRDefault="00083257" w:rsidP="00A670A6">
            <w:pPr>
              <w:jc w:val="center"/>
              <w:rPr>
                <w:rFonts w:cs="Times New Roman"/>
                <w:color w:val="FFFFFF" w:themeColor="background1"/>
                <w:sz w:val="28"/>
                <w:szCs w:val="28"/>
              </w:rPr>
            </w:pPr>
            <w:r w:rsidRPr="00BA38B9">
              <w:rPr>
                <w:rFonts w:cs="Times New Roman"/>
                <w:color w:val="FFFFFF" w:themeColor="background1"/>
                <w:sz w:val="28"/>
                <w:szCs w:val="28"/>
              </w:rPr>
              <w:t>Application</w:t>
            </w:r>
          </w:p>
        </w:tc>
        <w:tc>
          <w:tcPr>
            <w:tcW w:w="3117" w:type="dxa"/>
            <w:shd w:val="clear" w:color="auto" w:fill="2F5496" w:themeFill="accent1" w:themeFillShade="BF"/>
          </w:tcPr>
          <w:p w14:paraId="3FE187A2" w14:textId="77777777" w:rsidR="00083257" w:rsidRPr="00BA38B9" w:rsidRDefault="00083257" w:rsidP="00A670A6">
            <w:pPr>
              <w:jc w:val="center"/>
              <w:rPr>
                <w:rFonts w:cs="Times New Roman"/>
                <w:color w:val="FFFFFF" w:themeColor="background1"/>
                <w:sz w:val="28"/>
                <w:szCs w:val="28"/>
              </w:rPr>
            </w:pPr>
            <w:r w:rsidRPr="00BA38B9">
              <w:rPr>
                <w:rFonts w:cs="Times New Roman"/>
                <w:color w:val="FFFFFF" w:themeColor="background1"/>
                <w:sz w:val="28"/>
                <w:szCs w:val="28"/>
              </w:rPr>
              <w:t>Environmental</w:t>
            </w:r>
          </w:p>
        </w:tc>
        <w:tc>
          <w:tcPr>
            <w:tcW w:w="3217" w:type="dxa"/>
            <w:shd w:val="clear" w:color="auto" w:fill="2F5496" w:themeFill="accent1" w:themeFillShade="BF"/>
          </w:tcPr>
          <w:p w14:paraId="4A1D203A" w14:textId="77777777" w:rsidR="00083257" w:rsidRPr="00BA38B9" w:rsidRDefault="00083257" w:rsidP="00A670A6">
            <w:pPr>
              <w:jc w:val="center"/>
              <w:rPr>
                <w:rFonts w:cs="Times New Roman"/>
                <w:color w:val="FFFFFF" w:themeColor="background1"/>
                <w:sz w:val="28"/>
                <w:szCs w:val="28"/>
              </w:rPr>
            </w:pPr>
            <w:r w:rsidRPr="00BA38B9">
              <w:rPr>
                <w:rFonts w:cs="Times New Roman"/>
                <w:color w:val="FFFFFF" w:themeColor="background1"/>
                <w:sz w:val="28"/>
                <w:szCs w:val="28"/>
              </w:rPr>
              <w:t>Legal</w:t>
            </w:r>
          </w:p>
        </w:tc>
      </w:tr>
      <w:tr w:rsidR="00083257" w:rsidRPr="001D36B8" w14:paraId="44A3672F" w14:textId="77777777" w:rsidTr="00A670A6">
        <w:tc>
          <w:tcPr>
            <w:tcW w:w="3026" w:type="dxa"/>
          </w:tcPr>
          <w:p w14:paraId="35F73E93" w14:textId="77777777" w:rsidR="00083257" w:rsidRPr="00BA38B9" w:rsidRDefault="00083257" w:rsidP="00A670A6">
            <w:pPr>
              <w:jc w:val="center"/>
              <w:rPr>
                <w:rFonts w:cs="Times New Roman"/>
                <w:sz w:val="28"/>
                <w:szCs w:val="28"/>
              </w:rPr>
            </w:pPr>
            <w:r w:rsidRPr="00BA38B9">
              <w:rPr>
                <w:rFonts w:cs="Times New Roman"/>
                <w:sz w:val="28"/>
                <w:szCs w:val="28"/>
              </w:rPr>
              <w:t>Low</w:t>
            </w:r>
          </w:p>
        </w:tc>
        <w:tc>
          <w:tcPr>
            <w:tcW w:w="3117" w:type="dxa"/>
          </w:tcPr>
          <w:p w14:paraId="69286F08" w14:textId="77777777" w:rsidR="00083257" w:rsidRPr="00BA38B9" w:rsidRDefault="00083257" w:rsidP="00A670A6">
            <w:pPr>
              <w:jc w:val="center"/>
              <w:rPr>
                <w:rFonts w:cs="Times New Roman"/>
                <w:sz w:val="28"/>
                <w:szCs w:val="28"/>
              </w:rPr>
            </w:pPr>
            <w:r w:rsidRPr="00BA38B9">
              <w:rPr>
                <w:rFonts w:cs="Times New Roman"/>
                <w:sz w:val="28"/>
                <w:szCs w:val="28"/>
              </w:rPr>
              <w:t>Low</w:t>
            </w:r>
          </w:p>
        </w:tc>
        <w:tc>
          <w:tcPr>
            <w:tcW w:w="3217" w:type="dxa"/>
          </w:tcPr>
          <w:p w14:paraId="4F3879BF" w14:textId="77777777" w:rsidR="00083257" w:rsidRPr="00BA38B9" w:rsidRDefault="00083257" w:rsidP="00A670A6">
            <w:pPr>
              <w:jc w:val="center"/>
              <w:rPr>
                <w:rFonts w:cs="Times New Roman"/>
                <w:sz w:val="28"/>
                <w:szCs w:val="28"/>
              </w:rPr>
            </w:pPr>
            <w:r w:rsidRPr="00BA38B9">
              <w:rPr>
                <w:rFonts w:cs="Times New Roman"/>
                <w:sz w:val="28"/>
                <w:szCs w:val="28"/>
              </w:rPr>
              <w:t>Low</w:t>
            </w:r>
          </w:p>
        </w:tc>
      </w:tr>
    </w:tbl>
    <w:p w14:paraId="43F208B1" w14:textId="77777777" w:rsidR="00083257" w:rsidRDefault="00083257" w:rsidP="002E23E2">
      <w:pPr>
        <w:pStyle w:val="Heading2"/>
      </w:pPr>
      <w:r w:rsidRPr="001D36B8">
        <w:t xml:space="preserve">Application Requirements: </w:t>
      </w:r>
    </w:p>
    <w:p w14:paraId="504B8D5D" w14:textId="77777777" w:rsidR="00083257" w:rsidRPr="001D36B8" w:rsidRDefault="00083257" w:rsidP="00A86F14">
      <w:pPr>
        <w:pStyle w:val="ListParagraph"/>
        <w:numPr>
          <w:ilvl w:val="0"/>
          <w:numId w:val="3"/>
        </w:numPr>
      </w:pPr>
      <w:r w:rsidRPr="001D36B8">
        <w:t>Must be a local government, Tribe, or PNP</w:t>
      </w:r>
    </w:p>
    <w:p w14:paraId="7D7B077E" w14:textId="77777777" w:rsidR="00083257" w:rsidRPr="001D36B8" w:rsidRDefault="00083257" w:rsidP="00A86F14">
      <w:pPr>
        <w:pStyle w:val="ListParagraph"/>
        <w:numPr>
          <w:ilvl w:val="0"/>
          <w:numId w:val="3"/>
        </w:numPr>
      </w:pPr>
      <w:r w:rsidRPr="001D36B8">
        <w:t>Must have a FEMA approved Local Hazard Mitigation Plan</w:t>
      </w:r>
    </w:p>
    <w:p w14:paraId="73DB5D63" w14:textId="77777777" w:rsidR="00083257" w:rsidRPr="001D36B8" w:rsidRDefault="00083257" w:rsidP="00A86F14">
      <w:pPr>
        <w:pStyle w:val="ListParagraph"/>
        <w:numPr>
          <w:ilvl w:val="0"/>
          <w:numId w:val="3"/>
        </w:numPr>
      </w:pPr>
      <w:r w:rsidRPr="001D36B8">
        <w:t>Mu</w:t>
      </w:r>
      <w:bookmarkStart w:id="0" w:name="_GoBack"/>
      <w:bookmarkEnd w:id="0"/>
      <w:r w:rsidRPr="001D36B8">
        <w:t>st fulfill appropriate state emergency management agency application requirements including, scope of work, budget, schedule, etc.</w:t>
      </w:r>
    </w:p>
    <w:p w14:paraId="419A9F78" w14:textId="77777777" w:rsidR="00083257" w:rsidRPr="001D36B8" w:rsidRDefault="00083257" w:rsidP="00A86F14">
      <w:pPr>
        <w:pStyle w:val="ListParagraph"/>
        <w:numPr>
          <w:ilvl w:val="0"/>
          <w:numId w:val="3"/>
        </w:numPr>
      </w:pPr>
      <w:r w:rsidRPr="001D36B8">
        <w:t>Must include narrative discussion of the benefits of the project (no formal benefit-cost analysis is required)</w:t>
      </w:r>
    </w:p>
    <w:p w14:paraId="63E485D9" w14:textId="77777777" w:rsidR="00083257" w:rsidRPr="001D36B8" w:rsidRDefault="00083257" w:rsidP="00A86F14">
      <w:pPr>
        <w:pStyle w:val="ListParagraph"/>
        <w:numPr>
          <w:ilvl w:val="0"/>
          <w:numId w:val="3"/>
        </w:numPr>
      </w:pPr>
      <w:r w:rsidRPr="001D36B8">
        <w:t>Must fit within program or state funding limits</w:t>
      </w:r>
    </w:p>
    <w:p w14:paraId="50EFCC11" w14:textId="77777777" w:rsidR="00083257" w:rsidRPr="001D36B8" w:rsidRDefault="00083257" w:rsidP="00A86F14">
      <w:pPr>
        <w:pStyle w:val="ListParagraph"/>
        <w:numPr>
          <w:ilvl w:val="0"/>
          <w:numId w:val="3"/>
        </w:numPr>
      </w:pPr>
      <w:r w:rsidRPr="001D36B8">
        <w:t>25% local match required</w:t>
      </w:r>
    </w:p>
    <w:p w14:paraId="68D8C6CE" w14:textId="77777777" w:rsidR="00083257" w:rsidRDefault="00083257" w:rsidP="002E23E2">
      <w:pPr>
        <w:pStyle w:val="Heading2"/>
      </w:pPr>
      <w:r w:rsidRPr="001D36B8">
        <w:t xml:space="preserve">Environmental Requirements: </w:t>
      </w:r>
    </w:p>
    <w:p w14:paraId="327483CC" w14:textId="392DB460" w:rsidR="00083257" w:rsidRPr="001D36B8" w:rsidRDefault="004F5213" w:rsidP="00083257">
      <w:r>
        <w:t xml:space="preserve">Advance Assistance </w:t>
      </w:r>
      <w:r w:rsidRPr="005F6D7F">
        <w:t>activities are categorically excluded from NEPA review as the activit</w:t>
      </w:r>
      <w:r w:rsidR="00511C82">
        <w:t>ies</w:t>
      </w:r>
      <w:r w:rsidRPr="005F6D7F">
        <w:t xml:space="preserve"> involve no ground disturbance</w:t>
      </w:r>
      <w:r>
        <w:t>.</w:t>
      </w:r>
    </w:p>
    <w:sectPr w:rsidR="00083257" w:rsidRPr="001D36B8" w:rsidSect="00410C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20474" w14:textId="77777777" w:rsidR="004C6B20" w:rsidRDefault="004C6B20" w:rsidP="00AC4113">
      <w:pPr>
        <w:spacing w:after="0" w:line="240" w:lineRule="auto"/>
      </w:pPr>
      <w:r>
        <w:separator/>
      </w:r>
    </w:p>
  </w:endnote>
  <w:endnote w:type="continuationSeparator" w:id="0">
    <w:p w14:paraId="69241BA9" w14:textId="77777777" w:rsidR="004C6B20" w:rsidRDefault="004C6B20" w:rsidP="00AC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A325" w14:textId="1BC4CC9F" w:rsidR="00AC4113" w:rsidRPr="002E23E2" w:rsidRDefault="00AC4113">
    <w:pPr>
      <w:pStyle w:val="Footer"/>
    </w:pPr>
    <w:r w:rsidRPr="002E23E2">
      <w:t>FEMA Region IX</w:t>
    </w:r>
    <w:r w:rsidR="002303B3" w:rsidRPr="002E23E2">
      <w:tab/>
    </w:r>
    <w:r w:rsidR="002303B3" w:rsidRPr="002E23E2">
      <w:tab/>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63775" w14:textId="77777777" w:rsidR="004C6B20" w:rsidRDefault="004C6B20" w:rsidP="00AC4113">
      <w:pPr>
        <w:spacing w:after="0" w:line="240" w:lineRule="auto"/>
      </w:pPr>
      <w:r>
        <w:separator/>
      </w:r>
    </w:p>
  </w:footnote>
  <w:footnote w:type="continuationSeparator" w:id="0">
    <w:p w14:paraId="3BE49A17" w14:textId="77777777" w:rsidR="004C6B20" w:rsidRDefault="004C6B20" w:rsidP="00AC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D272D"/>
    <w:multiLevelType w:val="hybridMultilevel"/>
    <w:tmpl w:val="42D8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0087B"/>
    <w:multiLevelType w:val="hybridMultilevel"/>
    <w:tmpl w:val="9BF6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20194"/>
    <w:multiLevelType w:val="hybridMultilevel"/>
    <w:tmpl w:val="B3F40904"/>
    <w:lvl w:ilvl="0" w:tplc="BF42D95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20E58"/>
    <w:multiLevelType w:val="hybridMultilevel"/>
    <w:tmpl w:val="0CF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830B7"/>
    <w:multiLevelType w:val="hybridMultilevel"/>
    <w:tmpl w:val="48F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26F10"/>
    <w:multiLevelType w:val="hybridMultilevel"/>
    <w:tmpl w:val="D1F8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57"/>
    <w:rsid w:val="00083257"/>
    <w:rsid w:val="00106BB3"/>
    <w:rsid w:val="0022024E"/>
    <w:rsid w:val="002303B3"/>
    <w:rsid w:val="002862F7"/>
    <w:rsid w:val="002E23E2"/>
    <w:rsid w:val="002E7FA0"/>
    <w:rsid w:val="003943D9"/>
    <w:rsid w:val="003C6BF9"/>
    <w:rsid w:val="003E4980"/>
    <w:rsid w:val="0042195B"/>
    <w:rsid w:val="004439F8"/>
    <w:rsid w:val="00456C1E"/>
    <w:rsid w:val="004628D4"/>
    <w:rsid w:val="00473098"/>
    <w:rsid w:val="004A083F"/>
    <w:rsid w:val="004A67BB"/>
    <w:rsid w:val="004C6B20"/>
    <w:rsid w:val="004F5213"/>
    <w:rsid w:val="00511C82"/>
    <w:rsid w:val="00513581"/>
    <w:rsid w:val="005E2254"/>
    <w:rsid w:val="006D4CDF"/>
    <w:rsid w:val="0083445E"/>
    <w:rsid w:val="00843F87"/>
    <w:rsid w:val="00894878"/>
    <w:rsid w:val="008C6D14"/>
    <w:rsid w:val="008D1E5A"/>
    <w:rsid w:val="00A86F14"/>
    <w:rsid w:val="00AB74B9"/>
    <w:rsid w:val="00AC4113"/>
    <w:rsid w:val="00B15AD1"/>
    <w:rsid w:val="00B65316"/>
    <w:rsid w:val="00B75D80"/>
    <w:rsid w:val="00BA38B9"/>
    <w:rsid w:val="00C52FAD"/>
    <w:rsid w:val="00CE6C0A"/>
    <w:rsid w:val="00D403F4"/>
    <w:rsid w:val="00D7082D"/>
    <w:rsid w:val="00E00A59"/>
    <w:rsid w:val="00E8247B"/>
    <w:rsid w:val="00ED735D"/>
    <w:rsid w:val="00EE4672"/>
    <w:rsid w:val="00EE7123"/>
    <w:rsid w:val="00F3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2DD0"/>
  <w15:chartTrackingRefBased/>
  <w15:docId w15:val="{372F43D5-CDD4-49CC-86D1-CC5F3130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14"/>
    <w:rPr>
      <w:rFonts w:ascii="Century Gothic" w:hAnsi="Century Gothic"/>
      <w:sz w:val="24"/>
    </w:rPr>
  </w:style>
  <w:style w:type="paragraph" w:styleId="Heading1">
    <w:name w:val="heading 1"/>
    <w:basedOn w:val="Normal"/>
    <w:next w:val="Normal"/>
    <w:link w:val="Heading1Char"/>
    <w:uiPriority w:val="9"/>
    <w:qFormat/>
    <w:rsid w:val="00EE7123"/>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A67BB"/>
    <w:pPr>
      <w:keepNext/>
      <w:keepLines/>
      <w:spacing w:before="120" w:after="120"/>
      <w:outlineLvl w:val="1"/>
    </w:pPr>
    <w:rPr>
      <w:rFonts w:eastAsiaTheme="majorEastAsia" w:cstheme="majorBidi"/>
      <w:b/>
      <w:color w:val="4472C4" w:themeColor="accent1"/>
      <w:sz w:val="28"/>
      <w:szCs w:val="26"/>
    </w:rPr>
  </w:style>
  <w:style w:type="paragraph" w:styleId="Heading3">
    <w:name w:val="heading 3"/>
    <w:basedOn w:val="Normal"/>
    <w:next w:val="Normal"/>
    <w:link w:val="Heading3Char"/>
    <w:uiPriority w:val="9"/>
    <w:semiHidden/>
    <w:unhideWhenUsed/>
    <w:qFormat/>
    <w:rsid w:val="002E23E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57"/>
    <w:pPr>
      <w:ind w:left="720"/>
      <w:contextualSpacing/>
    </w:pPr>
  </w:style>
  <w:style w:type="table" w:styleId="TableGrid">
    <w:name w:val="Table Grid"/>
    <w:basedOn w:val="TableNormal"/>
    <w:uiPriority w:val="39"/>
    <w:rsid w:val="0008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6D14"/>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C6D14"/>
    <w:rPr>
      <w:rFonts w:ascii="Century Gothic" w:eastAsiaTheme="majorEastAsia" w:hAnsi="Century Gothic" w:cstheme="majorBidi"/>
      <w:b/>
      <w:spacing w:val="-10"/>
      <w:kern w:val="28"/>
      <w:sz w:val="28"/>
      <w:szCs w:val="56"/>
    </w:rPr>
  </w:style>
  <w:style w:type="character" w:customStyle="1" w:styleId="Heading1Char">
    <w:name w:val="Heading 1 Char"/>
    <w:basedOn w:val="DefaultParagraphFont"/>
    <w:link w:val="Heading1"/>
    <w:uiPriority w:val="9"/>
    <w:rsid w:val="00EE7123"/>
    <w:rPr>
      <w:rFonts w:ascii="Century Gothic" w:eastAsiaTheme="majorEastAsia" w:hAnsi="Century Gothic" w:cstheme="majorBidi"/>
      <w:b/>
      <w:sz w:val="28"/>
      <w:szCs w:val="32"/>
    </w:rPr>
  </w:style>
  <w:style w:type="character" w:customStyle="1" w:styleId="Heading2Char">
    <w:name w:val="Heading 2 Char"/>
    <w:basedOn w:val="DefaultParagraphFont"/>
    <w:link w:val="Heading2"/>
    <w:uiPriority w:val="9"/>
    <w:rsid w:val="004A67BB"/>
    <w:rPr>
      <w:rFonts w:ascii="Century Gothic" w:eastAsiaTheme="majorEastAsia" w:hAnsi="Century Gothic" w:cstheme="majorBidi"/>
      <w:b/>
      <w:color w:val="4472C4" w:themeColor="accent1"/>
      <w:sz w:val="28"/>
      <w:szCs w:val="26"/>
    </w:rPr>
  </w:style>
  <w:style w:type="paragraph" w:styleId="Header">
    <w:name w:val="header"/>
    <w:basedOn w:val="Normal"/>
    <w:link w:val="HeaderChar"/>
    <w:uiPriority w:val="99"/>
    <w:unhideWhenUsed/>
    <w:rsid w:val="00AC4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113"/>
    <w:rPr>
      <w:rFonts w:ascii="Times New Roman" w:hAnsi="Times New Roman"/>
      <w:sz w:val="24"/>
    </w:rPr>
  </w:style>
  <w:style w:type="paragraph" w:styleId="Footer">
    <w:name w:val="footer"/>
    <w:basedOn w:val="Normal"/>
    <w:link w:val="FooterChar"/>
    <w:uiPriority w:val="99"/>
    <w:unhideWhenUsed/>
    <w:rsid w:val="00AC4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113"/>
    <w:rPr>
      <w:rFonts w:ascii="Times New Roman" w:hAnsi="Times New Roman"/>
      <w:sz w:val="24"/>
    </w:rPr>
  </w:style>
  <w:style w:type="character" w:customStyle="1" w:styleId="Heading3Char">
    <w:name w:val="Heading 3 Char"/>
    <w:basedOn w:val="DefaultParagraphFont"/>
    <w:link w:val="Heading3"/>
    <w:uiPriority w:val="9"/>
    <w:semiHidden/>
    <w:rsid w:val="002E23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5F3B2270-962D-4006-BDD1-01A19C283C04}">
  <ds:schemaRefs>
    <ds:schemaRef ds:uri="http://schemas.openxmlformats.org/officeDocument/2006/bibliography"/>
  </ds:schemaRefs>
</ds:datastoreItem>
</file>

<file path=customXml/itemProps2.xml><?xml version="1.0" encoding="utf-8"?>
<ds:datastoreItem xmlns:ds="http://schemas.openxmlformats.org/officeDocument/2006/customXml" ds:itemID="{2C43DABE-F205-4A35-830B-C97467A3798D}"/>
</file>

<file path=customXml/itemProps3.xml><?xml version="1.0" encoding="utf-8"?>
<ds:datastoreItem xmlns:ds="http://schemas.openxmlformats.org/officeDocument/2006/customXml" ds:itemID="{76797D40-BF40-4197-B236-BB3B847D0433}"/>
</file>

<file path=customXml/itemProps4.xml><?xml version="1.0" encoding="utf-8"?>
<ds:datastoreItem xmlns:ds="http://schemas.openxmlformats.org/officeDocument/2006/customXml" ds:itemID="{3ACE84E0-3073-4544-B299-2095AE3C71C4}"/>
</file>

<file path=docProps/app.xml><?xml version="1.0" encoding="utf-8"?>
<Properties xmlns="http://schemas.openxmlformats.org/officeDocument/2006/extended-properties" xmlns:vt="http://schemas.openxmlformats.org/officeDocument/2006/docPropsVTypes">
  <Template>Normal</Template>
  <TotalTime>65</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FEMA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Wildfire Mitigation Funding Opportunity Advance Assistance</dc:title>
  <dc:subject/>
  <dc:creator>Hanchett, Bonnie</dc:creator>
  <cp:keywords/>
  <dc:description/>
  <cp:lastModifiedBy>Briggs, David@CalOES</cp:lastModifiedBy>
  <cp:revision>40</cp:revision>
  <dcterms:created xsi:type="dcterms:W3CDTF">2020-11-05T14:09:00Z</dcterms:created>
  <dcterms:modified xsi:type="dcterms:W3CDTF">2020-12-28T23:24:00Z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